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50" w:rsidRDefault="00010150" w:rsidP="00010150">
      <w:pPr>
        <w:pStyle w:val="Heading1"/>
        <w:jc w:val="center"/>
        <w:rPr>
          <w:lang w:val="sr-Cyrl-RS"/>
        </w:rPr>
      </w:pPr>
      <w:r>
        <w:rPr>
          <w:lang w:val="sr-Cyrl-RS"/>
        </w:rPr>
        <w:t>ПОКРАЈИНСКИ СЕКРЕТАРИЈАТ ЗА СПОРТ И ОМЛАДИНУ</w:t>
      </w:r>
    </w:p>
    <w:p w:rsidR="00010150" w:rsidRDefault="00010150" w:rsidP="00010150">
      <w:pPr>
        <w:rPr>
          <w:lang w:val="sr-Cyrl-RS"/>
        </w:rPr>
      </w:pPr>
    </w:p>
    <w:p w:rsidR="00010150" w:rsidRDefault="00010150" w:rsidP="00010150">
      <w:pPr>
        <w:rPr>
          <w:lang w:val="sr-Cyrl-RS"/>
        </w:rPr>
      </w:pPr>
    </w:p>
    <w:p w:rsidR="00010150" w:rsidRPr="00BF5053" w:rsidRDefault="00010150" w:rsidP="00010150">
      <w:pPr>
        <w:keepNext/>
        <w:keepLines/>
        <w:jc w:val="center"/>
        <w:outlineLvl w:val="2"/>
        <w:rPr>
          <w:rFonts w:ascii="Verdana" w:eastAsiaTheme="majorEastAsia" w:hAnsi="Verdana" w:cstheme="majorBidi"/>
          <w:b/>
          <w:bCs/>
          <w:sz w:val="20"/>
          <w:lang w:val="sr-Cyrl-RS"/>
        </w:rPr>
      </w:pPr>
      <w:r w:rsidRPr="00BF5053">
        <w:rPr>
          <w:rFonts w:ascii="Verdana" w:eastAsiaTheme="majorEastAsia" w:hAnsi="Verdana" w:cstheme="majorBidi"/>
          <w:b/>
          <w:bCs/>
          <w:sz w:val="20"/>
          <w:lang w:val="sr-Cyrl-RS"/>
        </w:rPr>
        <w:t>II Стратешки приоритети РПП  АПВ – део становништво, насеља и социјални развој</w:t>
      </w:r>
    </w:p>
    <w:tbl>
      <w:tblPr>
        <w:tblW w:w="13409" w:type="dxa"/>
        <w:jc w:val="center"/>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8"/>
        <w:gridCol w:w="1275"/>
        <w:gridCol w:w="2410"/>
        <w:gridCol w:w="2552"/>
        <w:gridCol w:w="2881"/>
        <w:gridCol w:w="2933"/>
      </w:tblGrid>
      <w:tr w:rsidR="00010150" w:rsidRPr="00BF5053" w:rsidTr="004C3E03">
        <w:trPr>
          <w:cantSplit/>
          <w:trHeight w:val="288"/>
          <w:tblHeader/>
          <w:jc w:val="center"/>
        </w:trPr>
        <w:tc>
          <w:tcPr>
            <w:tcW w:w="1358" w:type="dxa"/>
            <w:shd w:val="pct12" w:color="auto" w:fill="auto"/>
            <w:vAlign w:val="center"/>
          </w:tcPr>
          <w:p w:rsidR="00010150" w:rsidRPr="004A0C26" w:rsidRDefault="00010150" w:rsidP="004C3E03">
            <w:pPr>
              <w:jc w:val="center"/>
              <w:rPr>
                <w:rFonts w:ascii="Verdana" w:hAnsi="Verdana" w:cs="Times New Roman"/>
                <w:sz w:val="14"/>
                <w:szCs w:val="14"/>
                <w:lang w:val="sr-Cyrl-RS"/>
              </w:rPr>
            </w:pPr>
            <w:r w:rsidRPr="004A0C26">
              <w:rPr>
                <w:rFonts w:ascii="Verdana" w:eastAsia="Times New Roman" w:hAnsi="Verdana"/>
                <w:b/>
                <w:sz w:val="14"/>
                <w:szCs w:val="14"/>
                <w:lang w:val="sr-Cyrl-RS" w:eastAsia="sr-Latn-RS"/>
              </w:rPr>
              <w:t>Ред. бр. стратешког приоритета</w:t>
            </w:r>
          </w:p>
        </w:tc>
        <w:tc>
          <w:tcPr>
            <w:tcW w:w="3685" w:type="dxa"/>
            <w:gridSpan w:val="2"/>
            <w:shd w:val="pct12" w:color="auto" w:fill="auto"/>
            <w:vAlign w:val="center"/>
          </w:tcPr>
          <w:p w:rsidR="00010150" w:rsidRPr="004A0C26" w:rsidRDefault="00010150" w:rsidP="004C3E03">
            <w:pPr>
              <w:jc w:val="center"/>
              <w:rPr>
                <w:rFonts w:ascii="Verdana" w:eastAsia="Times New Roman" w:hAnsi="Verdana"/>
                <w:b/>
                <w:sz w:val="15"/>
                <w:szCs w:val="15"/>
                <w:lang w:val="sr-Cyrl-RS" w:eastAsia="sr-Latn-RS"/>
              </w:rPr>
            </w:pPr>
            <w:r w:rsidRPr="004A0C26">
              <w:rPr>
                <w:rFonts w:ascii="Verdana" w:eastAsia="Times New Roman" w:hAnsi="Verdana"/>
                <w:b/>
                <w:sz w:val="16"/>
                <w:szCs w:val="15"/>
                <w:lang w:val="sr-Cyrl-RS" w:eastAsia="sr-Latn-RS"/>
              </w:rPr>
              <w:t>Назив стратешког приоритета</w:t>
            </w:r>
          </w:p>
        </w:tc>
        <w:tc>
          <w:tcPr>
            <w:tcW w:w="2552" w:type="dxa"/>
            <w:shd w:val="pct12" w:color="auto" w:fill="auto"/>
            <w:vAlign w:val="center"/>
          </w:tcPr>
          <w:p w:rsidR="00010150" w:rsidRPr="004A0C26" w:rsidRDefault="00010150" w:rsidP="004C3E03">
            <w:pPr>
              <w:jc w:val="center"/>
              <w:rPr>
                <w:rFonts w:ascii="Verdana" w:eastAsia="Times New Roman" w:hAnsi="Verdana" w:cs="Times New Roman"/>
                <w:b/>
                <w:bCs/>
                <w:sz w:val="15"/>
                <w:szCs w:val="15"/>
                <w:lang w:val="sr-Cyrl-RS" w:eastAsia="sr-Latn-RS"/>
              </w:rPr>
            </w:pPr>
            <w:r w:rsidRPr="004A0C26">
              <w:rPr>
                <w:rFonts w:ascii="Verdana" w:eastAsia="Times New Roman" w:hAnsi="Verdana" w:cs="Times New Roman"/>
                <w:b/>
                <w:bCs/>
                <w:sz w:val="15"/>
                <w:szCs w:val="15"/>
                <w:lang w:val="sr-Cyrl-RS" w:eastAsia="sr-Latn-RS"/>
              </w:rPr>
              <w:t>Покрајински секретаријат учесник у реализацији</w:t>
            </w:r>
            <w:r w:rsidRPr="004A0C26">
              <w:rPr>
                <w:rFonts w:ascii="Verdana" w:eastAsia="Times New Roman" w:hAnsi="Verdana"/>
                <w:b/>
                <w:sz w:val="15"/>
                <w:szCs w:val="15"/>
                <w:lang w:val="sr-Cyrl-RS" w:eastAsia="sr-Latn-RS"/>
              </w:rPr>
              <w:t xml:space="preserve"> стратешк</w:t>
            </w:r>
            <w:r w:rsidRPr="004A0C26">
              <w:rPr>
                <w:rFonts w:ascii="Verdana" w:eastAsia="Times New Roman" w:hAnsi="Verdana" w:cs="Times New Roman"/>
                <w:b/>
                <w:bCs/>
                <w:sz w:val="15"/>
                <w:szCs w:val="15"/>
                <w:lang w:val="sr-Cyrl-RS" w:eastAsia="sr-Latn-RS"/>
              </w:rPr>
              <w:t>ог</w:t>
            </w:r>
            <w:r w:rsidRPr="004A0C26">
              <w:rPr>
                <w:rFonts w:ascii="Verdana" w:eastAsia="Times New Roman" w:hAnsi="Verdana"/>
                <w:b/>
                <w:sz w:val="15"/>
                <w:szCs w:val="15"/>
                <w:lang w:val="sr-Cyrl-RS" w:eastAsia="sr-Latn-RS"/>
              </w:rPr>
              <w:t xml:space="preserve"> приоритет</w:t>
            </w:r>
            <w:r w:rsidRPr="004A0C26">
              <w:rPr>
                <w:rFonts w:ascii="Verdana" w:eastAsia="Times New Roman" w:hAnsi="Verdana" w:cs="Times New Roman"/>
                <w:b/>
                <w:bCs/>
                <w:sz w:val="15"/>
                <w:szCs w:val="15"/>
                <w:lang w:val="sr-Cyrl-RS" w:eastAsia="sr-Latn-RS"/>
              </w:rPr>
              <w:t>а</w:t>
            </w:r>
          </w:p>
          <w:p w:rsidR="00010150" w:rsidRPr="00BF5053" w:rsidRDefault="00010150" w:rsidP="004C3E03">
            <w:pPr>
              <w:spacing w:after="60"/>
              <w:jc w:val="center"/>
              <w:rPr>
                <w:rFonts w:ascii="Verdana" w:hAnsi="Verdana" w:cs="Times New Roman"/>
                <w:sz w:val="17"/>
                <w:szCs w:val="17"/>
                <w:lang w:val="sr-Cyrl-RS"/>
              </w:rPr>
            </w:pPr>
            <w:r w:rsidRPr="004A0C26">
              <w:rPr>
                <w:rFonts w:ascii="Verdana" w:hAnsi="Verdana"/>
                <w:sz w:val="15"/>
                <w:szCs w:val="15"/>
                <w:lang w:val="sr-Cyrl-RS"/>
              </w:rPr>
              <w:t xml:space="preserve"> </w:t>
            </w:r>
            <w:r w:rsidRPr="004A0C26">
              <w:rPr>
                <w:rFonts w:ascii="Verdana" w:hAnsi="Verdana"/>
                <w:b/>
                <w:sz w:val="15"/>
                <w:szCs w:val="15"/>
                <w:lang w:val="sr-Cyrl-RS"/>
              </w:rPr>
              <w:t xml:space="preserve">и учесници у </w:t>
            </w:r>
            <w:proofErr w:type="spellStart"/>
            <w:r w:rsidRPr="004A0C26">
              <w:rPr>
                <w:rFonts w:ascii="Verdana" w:hAnsi="Verdana"/>
                <w:b/>
                <w:sz w:val="15"/>
                <w:szCs w:val="15"/>
                <w:lang w:val="sr-Cyrl-RS"/>
              </w:rPr>
              <w:t>суфинансирању</w:t>
            </w:r>
            <w:proofErr w:type="spellEnd"/>
            <w:r w:rsidRPr="004A0C26">
              <w:rPr>
                <w:rFonts w:ascii="Verdana" w:hAnsi="Verdana"/>
                <w:b/>
                <w:sz w:val="15"/>
                <w:szCs w:val="15"/>
                <w:lang w:val="sr-Cyrl-RS"/>
              </w:rPr>
              <w:t xml:space="preserve"> пројеката</w:t>
            </w:r>
          </w:p>
        </w:tc>
        <w:tc>
          <w:tcPr>
            <w:tcW w:w="2881" w:type="dxa"/>
            <w:shd w:val="pct12" w:color="auto" w:fill="auto"/>
            <w:vAlign w:val="center"/>
          </w:tcPr>
          <w:p w:rsidR="00010150" w:rsidRPr="00BF5053" w:rsidRDefault="00010150" w:rsidP="004C3E03">
            <w:pPr>
              <w:spacing w:after="60"/>
              <w:jc w:val="center"/>
              <w:rPr>
                <w:rFonts w:ascii="Verdana" w:hAnsi="Verdana" w:cs="Times New Roman"/>
                <w:sz w:val="17"/>
                <w:szCs w:val="17"/>
                <w:lang w:val="sr-Cyrl-RS"/>
              </w:rPr>
            </w:pPr>
            <w:r w:rsidRPr="00707C06">
              <w:rPr>
                <w:rFonts w:ascii="Verdana" w:eastAsia="Times New Roman" w:hAnsi="Verdana" w:cs="Times New Roman"/>
                <w:b/>
                <w:bCs/>
                <w:sz w:val="16"/>
                <w:szCs w:val="15"/>
                <w:lang w:val="sr-Cyrl-RS" w:eastAsia="sr-Latn-RS"/>
              </w:rPr>
              <w:t>Стање</w:t>
            </w:r>
            <w:r w:rsidRPr="00707C06">
              <w:rPr>
                <w:rFonts w:ascii="Verdana" w:eastAsia="Times New Roman" w:hAnsi="Verdana"/>
                <w:b/>
                <w:sz w:val="16"/>
                <w:szCs w:val="15"/>
                <w:lang w:val="sr-Cyrl-RS" w:eastAsia="sr-Latn-RS"/>
              </w:rPr>
              <w:t xml:space="preserve"> стратешког приоритета за 201</w:t>
            </w:r>
            <w:r>
              <w:rPr>
                <w:rFonts w:ascii="Verdana" w:eastAsia="Times New Roman" w:hAnsi="Verdana"/>
                <w:b/>
                <w:sz w:val="16"/>
                <w:szCs w:val="15"/>
                <w:lang w:val="sr-Cyrl-RS" w:eastAsia="sr-Latn-RS"/>
              </w:rPr>
              <w:t>8</w:t>
            </w:r>
            <w:r w:rsidRPr="00707C06">
              <w:rPr>
                <w:rFonts w:ascii="Verdana" w:eastAsia="Times New Roman" w:hAnsi="Verdana"/>
                <w:b/>
                <w:sz w:val="16"/>
                <w:szCs w:val="15"/>
                <w:lang w:val="sr-Cyrl-RS" w:eastAsia="sr-Latn-RS"/>
              </w:rPr>
              <w:t>. годину</w:t>
            </w:r>
          </w:p>
        </w:tc>
        <w:tc>
          <w:tcPr>
            <w:tcW w:w="2933" w:type="dxa"/>
            <w:shd w:val="pct12" w:color="auto" w:fill="auto"/>
            <w:vAlign w:val="center"/>
          </w:tcPr>
          <w:p w:rsidR="00010150" w:rsidRPr="00BF5053" w:rsidRDefault="00010150" w:rsidP="004C3E03">
            <w:pPr>
              <w:spacing w:after="60"/>
              <w:jc w:val="center"/>
              <w:rPr>
                <w:rFonts w:ascii="Verdana" w:hAnsi="Verdana" w:cs="Times New Roman"/>
                <w:sz w:val="17"/>
                <w:szCs w:val="17"/>
                <w:lang w:val="sr-Cyrl-RS"/>
              </w:rPr>
            </w:pPr>
            <w:r w:rsidRPr="00A6679B">
              <w:rPr>
                <w:rFonts w:ascii="Verdana" w:hAnsi="Verdana" w:cs="Times New Roman"/>
                <w:b/>
                <w:sz w:val="16"/>
                <w:szCs w:val="17"/>
                <w:lang w:val="sr-Cyrl-RS"/>
              </w:rPr>
              <w:t>Стање стратешког приоритета за 2019. годину</w:t>
            </w:r>
          </w:p>
        </w:tc>
      </w:tr>
      <w:tr w:rsidR="00010150" w:rsidRPr="00BF5053" w:rsidTr="004C3E03">
        <w:trPr>
          <w:trHeight w:val="368"/>
          <w:jc w:val="center"/>
        </w:trPr>
        <w:tc>
          <w:tcPr>
            <w:tcW w:w="13409" w:type="dxa"/>
            <w:gridSpan w:val="6"/>
            <w:shd w:val="clear" w:color="auto" w:fill="D9D9D9" w:themeFill="background1" w:themeFillShade="D9"/>
            <w:vAlign w:val="center"/>
          </w:tcPr>
          <w:p w:rsidR="00010150" w:rsidRPr="00BF5053" w:rsidRDefault="00010150" w:rsidP="004C3E03">
            <w:pPr>
              <w:rPr>
                <w:rFonts w:ascii="Verdana" w:hAnsi="Verdana" w:cs="Times New Roman"/>
                <w:sz w:val="15"/>
                <w:szCs w:val="15"/>
                <w:lang w:val="sr-Cyrl-RS"/>
              </w:rPr>
            </w:pPr>
            <w:r w:rsidRPr="00BF5053">
              <w:rPr>
                <w:rFonts w:ascii="Verdana" w:eastAsia="Times New Roman" w:hAnsi="Verdana" w:cs="Times New Roman"/>
                <w:b/>
                <w:sz w:val="16"/>
                <w:szCs w:val="15"/>
                <w:lang w:val="sr-Cyrl-RS" w:eastAsia="sr-Latn-RS"/>
              </w:rPr>
              <w:t>Одрживи рурални развој</w:t>
            </w:r>
          </w:p>
        </w:tc>
      </w:tr>
      <w:tr w:rsidR="00010150" w:rsidRPr="00BF5053" w:rsidTr="004C3E03">
        <w:trPr>
          <w:trHeight w:val="43"/>
          <w:jc w:val="center"/>
        </w:trPr>
        <w:tc>
          <w:tcPr>
            <w:tcW w:w="1358" w:type="dxa"/>
            <w:vMerge w:val="restart"/>
            <w:shd w:val="clear" w:color="auto" w:fill="auto"/>
            <w:vAlign w:val="center"/>
          </w:tcPr>
          <w:p w:rsidR="00010150" w:rsidRPr="00BF5053" w:rsidRDefault="00010150" w:rsidP="004C3E03">
            <w:pPr>
              <w:spacing w:after="60"/>
              <w:jc w:val="center"/>
              <w:rPr>
                <w:rFonts w:ascii="Verdana" w:eastAsia="Times New Roman" w:hAnsi="Verdana"/>
                <w:sz w:val="16"/>
                <w:lang w:val="sr-Cyrl-RS" w:eastAsia="sr-Latn-RS"/>
              </w:rPr>
            </w:pPr>
            <w:r w:rsidRPr="00BF5053">
              <w:rPr>
                <w:rFonts w:ascii="Verdana" w:eastAsia="Times New Roman" w:hAnsi="Verdana" w:cs="Times New Roman"/>
                <w:sz w:val="16"/>
                <w:szCs w:val="15"/>
                <w:lang w:val="sr-Cyrl-RS" w:eastAsia="sr-Latn-RS"/>
              </w:rPr>
              <w:t>47.</w:t>
            </w:r>
          </w:p>
        </w:tc>
        <w:tc>
          <w:tcPr>
            <w:tcW w:w="1275" w:type="dxa"/>
            <w:vMerge w:val="restart"/>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r w:rsidRPr="00BF5053">
              <w:rPr>
                <w:rFonts w:ascii="Verdana" w:hAnsi="Verdana" w:cs="Times New Roman"/>
                <w:sz w:val="16"/>
                <w:szCs w:val="15"/>
                <w:lang w:val="sr-Cyrl-RS"/>
              </w:rPr>
              <w:t>Потпуни обухват циљних група, уз обезбеђење минималних стандарда објеката</w:t>
            </w:r>
          </w:p>
        </w:tc>
        <w:tc>
          <w:tcPr>
            <w:tcW w:w="2410" w:type="dxa"/>
            <w:shd w:val="clear" w:color="auto" w:fill="auto"/>
            <w:vAlign w:val="center"/>
          </w:tcPr>
          <w:p w:rsidR="00010150" w:rsidRPr="00790659" w:rsidRDefault="00010150" w:rsidP="004C3E03">
            <w:pPr>
              <w:spacing w:after="60"/>
              <w:jc w:val="left"/>
              <w:rPr>
                <w:rFonts w:ascii="Verdana" w:hAnsi="Verdana" w:cs="Times New Roman"/>
                <w:b/>
                <w:sz w:val="15"/>
                <w:szCs w:val="15"/>
                <w:lang w:val="sr-Cyrl-RS"/>
              </w:rPr>
            </w:pPr>
            <w:r w:rsidRPr="00790659">
              <w:rPr>
                <w:rFonts w:ascii="Verdana" w:hAnsi="Verdana" w:cs="Times New Roman"/>
                <w:b/>
                <w:sz w:val="15"/>
                <w:szCs w:val="15"/>
                <w:lang w:val="sr-Cyrl-RS"/>
              </w:rPr>
              <w:t>Изградња спортске инфраструктуре:</w:t>
            </w:r>
          </w:p>
          <w:p w:rsidR="00010150" w:rsidRPr="00BF5053" w:rsidRDefault="00010150" w:rsidP="004C3E03">
            <w:pPr>
              <w:spacing w:after="60"/>
              <w:rPr>
                <w:rFonts w:ascii="Verdana" w:hAnsi="Verdana" w:cs="Times New Roman"/>
                <w:sz w:val="15"/>
                <w:szCs w:val="15"/>
                <w:lang w:val="sr-Cyrl-RS"/>
              </w:rPr>
            </w:pPr>
            <w:r>
              <w:rPr>
                <w:rFonts w:ascii="Verdana" w:hAnsi="Verdana" w:cs="Times New Roman"/>
                <w:sz w:val="15"/>
                <w:szCs w:val="15"/>
                <w:lang w:val="sr-Cyrl-RS"/>
              </w:rPr>
              <w:t>-</w:t>
            </w:r>
            <w:r w:rsidRPr="00BF5053">
              <w:rPr>
                <w:rFonts w:ascii="Verdana" w:hAnsi="Verdana" w:cs="Times New Roman"/>
                <w:sz w:val="15"/>
                <w:szCs w:val="15"/>
                <w:lang w:val="sr-Cyrl-RS"/>
              </w:rPr>
              <w:t xml:space="preserve"> Планирано је континуирано улагање у спортску инфраструктуру путем годишњих конкурса за изградњу нових или одржавање и опремање постојећих спортских објеката а према могућностима буџета.</w:t>
            </w:r>
          </w:p>
          <w:p w:rsidR="00010150" w:rsidRPr="00BF5053" w:rsidRDefault="00010150" w:rsidP="004C3E03">
            <w:pPr>
              <w:spacing w:after="60"/>
              <w:jc w:val="left"/>
              <w:rPr>
                <w:rFonts w:ascii="Verdana" w:hAnsi="Verdana" w:cs="Times New Roman"/>
                <w:sz w:val="16"/>
                <w:szCs w:val="15"/>
                <w:lang w:val="sr-Cyrl-RS"/>
              </w:rPr>
            </w:pPr>
            <w:r w:rsidRPr="00BF5053">
              <w:rPr>
                <w:rFonts w:ascii="Verdana" w:hAnsi="Verdana" w:cs="Times New Roman"/>
                <w:sz w:val="15"/>
                <w:szCs w:val="15"/>
                <w:lang w:val="sr-Cyrl-RS"/>
              </w:rPr>
              <w:t xml:space="preserve">Као битан разлог за одређивање овог циља наводи се околност ранијих али и овогодишњег конкурса приликом кога је </w:t>
            </w:r>
            <w:proofErr w:type="spellStart"/>
            <w:r w:rsidRPr="00BF5053">
              <w:rPr>
                <w:rFonts w:ascii="Verdana" w:hAnsi="Verdana" w:cs="Times New Roman"/>
                <w:sz w:val="15"/>
                <w:szCs w:val="15"/>
                <w:lang w:val="sr-Cyrl-RS"/>
              </w:rPr>
              <w:t>поднето</w:t>
            </w:r>
            <w:proofErr w:type="spellEnd"/>
            <w:r w:rsidRPr="00BF5053">
              <w:rPr>
                <w:rFonts w:ascii="Verdana" w:hAnsi="Verdana" w:cs="Times New Roman"/>
                <w:sz w:val="15"/>
                <w:szCs w:val="15"/>
                <w:lang w:val="sr-Cyrl-RS"/>
              </w:rPr>
              <w:t xml:space="preserve"> 142 захтева у укупној вредности 371.396.901,21 </w:t>
            </w:r>
            <w:proofErr w:type="spellStart"/>
            <w:r w:rsidRPr="00BF5053">
              <w:rPr>
                <w:rFonts w:ascii="Verdana" w:hAnsi="Verdana" w:cs="Times New Roman"/>
                <w:sz w:val="15"/>
                <w:szCs w:val="15"/>
                <w:lang w:val="sr-Cyrl-RS"/>
              </w:rPr>
              <w:t>рсд</w:t>
            </w:r>
            <w:proofErr w:type="spellEnd"/>
            <w:r w:rsidRPr="00BF5053">
              <w:rPr>
                <w:rFonts w:ascii="Verdana" w:hAnsi="Verdana" w:cs="Times New Roman"/>
                <w:sz w:val="15"/>
                <w:szCs w:val="15"/>
                <w:lang w:val="sr-Cyrl-RS"/>
              </w:rPr>
              <w:t>. С обзиром да је расположиви износ у буџету био 36.000.000,00 дин ово указује на велики распон између потребних и расположивих средстава те и потребу за даљим улагањем у ову област.</w:t>
            </w:r>
          </w:p>
        </w:tc>
        <w:tc>
          <w:tcPr>
            <w:tcW w:w="2552"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r w:rsidRPr="00BF5053">
              <w:rPr>
                <w:rFonts w:ascii="Verdana" w:hAnsi="Verdana" w:cs="Times New Roman"/>
                <w:sz w:val="15"/>
                <w:szCs w:val="15"/>
                <w:lang w:val="sr-Cyrl-RS"/>
              </w:rPr>
              <w:t>ПССО</w:t>
            </w:r>
          </w:p>
        </w:tc>
        <w:tc>
          <w:tcPr>
            <w:tcW w:w="2881" w:type="dxa"/>
            <w:vAlign w:val="center"/>
          </w:tcPr>
          <w:p w:rsidR="00010150" w:rsidRPr="00BF5053" w:rsidRDefault="00010150" w:rsidP="004C3E03">
            <w:pPr>
              <w:spacing w:after="60"/>
              <w:jc w:val="center"/>
              <w:rPr>
                <w:rFonts w:ascii="Verdana" w:hAnsi="Verdana" w:cs="Times New Roman"/>
                <w:sz w:val="15"/>
                <w:szCs w:val="15"/>
                <w:lang w:val="sr-Cyrl-RS"/>
              </w:rPr>
            </w:pPr>
          </w:p>
        </w:tc>
        <w:tc>
          <w:tcPr>
            <w:tcW w:w="2933"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r>
      <w:tr w:rsidR="00010150" w:rsidRPr="00BF5053" w:rsidTr="004C3E03">
        <w:trPr>
          <w:trHeight w:val="43"/>
          <w:jc w:val="center"/>
        </w:trPr>
        <w:tc>
          <w:tcPr>
            <w:tcW w:w="1358" w:type="dxa"/>
            <w:vMerge/>
            <w:shd w:val="clear" w:color="auto" w:fill="auto"/>
            <w:vAlign w:val="center"/>
          </w:tcPr>
          <w:p w:rsidR="00010150" w:rsidRPr="00BF5053" w:rsidRDefault="00010150" w:rsidP="004C3E03">
            <w:pPr>
              <w:spacing w:after="60"/>
              <w:jc w:val="center"/>
              <w:rPr>
                <w:rFonts w:ascii="Verdana" w:eastAsia="Times New Roman" w:hAnsi="Verdana" w:cs="Times New Roman"/>
                <w:sz w:val="16"/>
                <w:szCs w:val="15"/>
                <w:lang w:val="sr-Cyrl-RS" w:eastAsia="sr-Latn-RS"/>
              </w:rPr>
            </w:pPr>
          </w:p>
        </w:tc>
        <w:tc>
          <w:tcPr>
            <w:tcW w:w="1275" w:type="dxa"/>
            <w:vMerge/>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p>
        </w:tc>
        <w:tc>
          <w:tcPr>
            <w:tcW w:w="2410" w:type="dxa"/>
            <w:shd w:val="clear" w:color="auto" w:fill="auto"/>
            <w:vAlign w:val="center"/>
          </w:tcPr>
          <w:p w:rsidR="00010150" w:rsidRDefault="00010150" w:rsidP="004C3E03">
            <w:pPr>
              <w:spacing w:after="60"/>
              <w:jc w:val="left"/>
              <w:rPr>
                <w:rFonts w:ascii="Verdana" w:hAnsi="Verdana" w:cs="Times New Roman"/>
                <w:b/>
                <w:sz w:val="15"/>
                <w:szCs w:val="15"/>
                <w:lang w:val="sr-Cyrl-RS"/>
              </w:rPr>
            </w:pPr>
            <w:r w:rsidRPr="00790659">
              <w:rPr>
                <w:rFonts w:ascii="Verdana" w:hAnsi="Verdana" w:cs="Times New Roman"/>
                <w:b/>
                <w:sz w:val="15"/>
                <w:szCs w:val="15"/>
                <w:lang w:val="sr-Cyrl-RS"/>
              </w:rPr>
              <w:t>Изградња спортске инфраструктуре за особе са инвалидитетом</w:t>
            </w:r>
          </w:p>
          <w:p w:rsidR="00010150" w:rsidRPr="00790659" w:rsidRDefault="00010150" w:rsidP="004C3E03">
            <w:pPr>
              <w:spacing w:after="60"/>
              <w:jc w:val="left"/>
              <w:rPr>
                <w:rFonts w:ascii="Verdana" w:hAnsi="Verdana" w:cs="Times New Roman"/>
                <w:b/>
                <w:sz w:val="16"/>
                <w:szCs w:val="15"/>
                <w:lang w:val="sr-Cyrl-RS"/>
              </w:rPr>
            </w:pPr>
            <w:r>
              <w:rPr>
                <w:rFonts w:ascii="Verdana" w:hAnsi="Verdana" w:cs="Times New Roman"/>
                <w:b/>
                <w:sz w:val="15"/>
                <w:szCs w:val="15"/>
                <w:lang w:val="sr-Cyrl-RS"/>
              </w:rPr>
              <w:t>-</w:t>
            </w:r>
            <w:r w:rsidRPr="00BF5053">
              <w:rPr>
                <w:rFonts w:ascii="Verdana" w:hAnsi="Verdana" w:cs="Times New Roman"/>
                <w:sz w:val="15"/>
                <w:szCs w:val="15"/>
                <w:lang w:val="sr-Cyrl-RS"/>
              </w:rPr>
              <w:t xml:space="preserve"> У 2017. години дефинисан је пројектни задатак за изградњу центра за развој спорта и едукацију омладине </w:t>
            </w:r>
            <w:proofErr w:type="spellStart"/>
            <w:r w:rsidRPr="00BF5053">
              <w:rPr>
                <w:rFonts w:ascii="Verdana" w:hAnsi="Verdana" w:cs="Times New Roman"/>
                <w:sz w:val="15"/>
                <w:szCs w:val="15"/>
                <w:lang w:val="sr-Cyrl-RS"/>
              </w:rPr>
              <w:lastRenderedPageBreak/>
              <w:t>Летенка</w:t>
            </w:r>
            <w:proofErr w:type="spellEnd"/>
            <w:r w:rsidRPr="00BF5053">
              <w:rPr>
                <w:rFonts w:ascii="Verdana" w:hAnsi="Verdana" w:cs="Times New Roman"/>
                <w:sz w:val="15"/>
                <w:szCs w:val="15"/>
                <w:lang w:val="sr-Cyrl-RS"/>
              </w:rPr>
              <w:t xml:space="preserve"> на Фрушкој гори у оквиру кога је предвиђено да један од три смештајна павиљона буде посебно пројектован за спортисте/особе са инвалидитетом. Такође, посебно ће се водити рачуна да сви објекти у комплексу </w:t>
            </w:r>
            <w:proofErr w:type="spellStart"/>
            <w:r w:rsidRPr="00BF5053">
              <w:rPr>
                <w:rFonts w:ascii="Verdana" w:hAnsi="Verdana" w:cs="Times New Roman"/>
                <w:sz w:val="15"/>
                <w:szCs w:val="15"/>
                <w:lang w:val="sr-Cyrl-RS"/>
              </w:rPr>
              <w:t>Летенка</w:t>
            </w:r>
            <w:proofErr w:type="spellEnd"/>
            <w:r w:rsidRPr="00BF5053">
              <w:rPr>
                <w:rFonts w:ascii="Verdana" w:hAnsi="Verdana" w:cs="Times New Roman"/>
                <w:sz w:val="15"/>
                <w:szCs w:val="15"/>
                <w:lang w:val="sr-Cyrl-RS"/>
              </w:rPr>
              <w:t xml:space="preserve"> буду приступачни овој </w:t>
            </w:r>
            <w:proofErr w:type="spellStart"/>
            <w:r w:rsidRPr="00BF5053">
              <w:rPr>
                <w:rFonts w:ascii="Verdana" w:hAnsi="Verdana" w:cs="Times New Roman"/>
                <w:sz w:val="15"/>
                <w:szCs w:val="15"/>
                <w:lang w:val="sr-Cyrl-RS"/>
              </w:rPr>
              <w:t>остељивој</w:t>
            </w:r>
            <w:proofErr w:type="spellEnd"/>
            <w:r w:rsidRPr="00BF5053">
              <w:rPr>
                <w:rFonts w:ascii="Verdana" w:hAnsi="Verdana" w:cs="Times New Roman"/>
                <w:sz w:val="15"/>
                <w:szCs w:val="15"/>
                <w:lang w:val="sr-Cyrl-RS"/>
              </w:rPr>
              <w:t xml:space="preserve"> групи а у складу са Правилником који регулише ову област.</w:t>
            </w:r>
          </w:p>
        </w:tc>
        <w:tc>
          <w:tcPr>
            <w:tcW w:w="2552"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r w:rsidRPr="00BF5053">
              <w:rPr>
                <w:rFonts w:ascii="Verdana" w:hAnsi="Verdana" w:cs="Times New Roman"/>
                <w:sz w:val="15"/>
                <w:szCs w:val="15"/>
                <w:lang w:val="sr-Cyrl-RS"/>
              </w:rPr>
              <w:lastRenderedPageBreak/>
              <w:t>ПССО</w:t>
            </w:r>
          </w:p>
        </w:tc>
        <w:tc>
          <w:tcPr>
            <w:tcW w:w="2881" w:type="dxa"/>
            <w:vAlign w:val="center"/>
          </w:tcPr>
          <w:p w:rsidR="00010150" w:rsidRPr="00BF5053" w:rsidRDefault="00010150" w:rsidP="004C3E03">
            <w:pPr>
              <w:spacing w:after="60"/>
              <w:jc w:val="center"/>
              <w:rPr>
                <w:rFonts w:ascii="Verdana" w:hAnsi="Verdana" w:cs="Times New Roman"/>
                <w:sz w:val="15"/>
                <w:szCs w:val="15"/>
                <w:lang w:val="sr-Cyrl-RS"/>
              </w:rPr>
            </w:pPr>
          </w:p>
        </w:tc>
        <w:tc>
          <w:tcPr>
            <w:tcW w:w="2933"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r>
      <w:tr w:rsidR="00010150" w:rsidRPr="00BF5053" w:rsidTr="004C3E03">
        <w:trPr>
          <w:trHeight w:val="43"/>
          <w:jc w:val="center"/>
        </w:trPr>
        <w:tc>
          <w:tcPr>
            <w:tcW w:w="1358" w:type="dxa"/>
            <w:vMerge/>
            <w:shd w:val="clear" w:color="auto" w:fill="auto"/>
            <w:vAlign w:val="center"/>
          </w:tcPr>
          <w:p w:rsidR="00010150" w:rsidRPr="00BF5053" w:rsidRDefault="00010150" w:rsidP="004C3E03">
            <w:pPr>
              <w:spacing w:after="60"/>
              <w:jc w:val="center"/>
              <w:rPr>
                <w:rFonts w:ascii="Verdana" w:eastAsia="Times New Roman" w:hAnsi="Verdana" w:cs="Times New Roman"/>
                <w:sz w:val="16"/>
                <w:szCs w:val="15"/>
                <w:lang w:val="sr-Cyrl-RS" w:eastAsia="sr-Latn-RS"/>
              </w:rPr>
            </w:pPr>
          </w:p>
        </w:tc>
        <w:tc>
          <w:tcPr>
            <w:tcW w:w="1275" w:type="dxa"/>
            <w:vMerge/>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p>
        </w:tc>
        <w:tc>
          <w:tcPr>
            <w:tcW w:w="2410" w:type="dxa"/>
            <w:shd w:val="clear" w:color="auto" w:fill="auto"/>
            <w:vAlign w:val="center"/>
          </w:tcPr>
          <w:p w:rsidR="00010150" w:rsidRPr="00B517C5" w:rsidRDefault="00010150" w:rsidP="004C3E03">
            <w:pPr>
              <w:spacing w:after="60"/>
              <w:jc w:val="left"/>
              <w:rPr>
                <w:rFonts w:ascii="Verdana" w:hAnsi="Verdana" w:cs="Times New Roman"/>
                <w:sz w:val="15"/>
                <w:szCs w:val="15"/>
                <w:lang w:val="sr-Cyrl-RS"/>
              </w:rPr>
            </w:pPr>
            <w:r w:rsidRPr="00B517C5">
              <w:rPr>
                <w:rFonts w:ascii="Verdana" w:hAnsi="Verdana" w:cs="Times New Roman"/>
                <w:sz w:val="15"/>
                <w:szCs w:val="15"/>
                <w:lang w:val="sr-Cyrl-RS"/>
              </w:rPr>
              <w:t>Изградња СРК „</w:t>
            </w:r>
            <w:proofErr w:type="spellStart"/>
            <w:r w:rsidRPr="00B517C5">
              <w:rPr>
                <w:rFonts w:ascii="Verdana" w:hAnsi="Verdana" w:cs="Times New Roman"/>
                <w:sz w:val="15"/>
                <w:szCs w:val="15"/>
                <w:lang w:val="sr-Cyrl-RS"/>
              </w:rPr>
              <w:t>Летенка</w:t>
            </w:r>
            <w:proofErr w:type="spellEnd"/>
            <w:r w:rsidRPr="00B517C5">
              <w:rPr>
                <w:rFonts w:ascii="Verdana" w:hAnsi="Verdana" w:cs="Times New Roman"/>
                <w:sz w:val="15"/>
                <w:szCs w:val="15"/>
                <w:lang w:val="sr-Cyrl-RS"/>
              </w:rPr>
              <w:t>“</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Задржава се као приоритет и у наредном стратешком периоду и истиче се као један од приоритета Владе АПВ у наредном периоду. Континуирано се ради на припреми овог пројекта и то:</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xml:space="preserve">Решавају се имовинско правни односи на парцели. Влада АПВ донела је Закључак о </w:t>
            </w:r>
            <w:proofErr w:type="spellStart"/>
            <w:r w:rsidRPr="00B517C5">
              <w:rPr>
                <w:rFonts w:ascii="Verdana" w:hAnsi="Verdana" w:cs="Times New Roman"/>
                <w:sz w:val="15"/>
                <w:szCs w:val="15"/>
                <w:lang w:val="sr-Cyrl-RS"/>
              </w:rPr>
              <w:t>иницирању</w:t>
            </w:r>
            <w:proofErr w:type="spellEnd"/>
            <w:r w:rsidRPr="00B517C5">
              <w:rPr>
                <w:rFonts w:ascii="Verdana" w:hAnsi="Verdana" w:cs="Times New Roman"/>
                <w:sz w:val="15"/>
                <w:szCs w:val="15"/>
                <w:lang w:val="sr-Cyrl-RS"/>
              </w:rPr>
              <w:t xml:space="preserve"> поступка преноса права јавне својине на парцелама комплекса са РС на АПВ, на основу овог закључка Управа за имовину иницирала је овај поступак према Републичкој дирекцији за имовину РС која води даљи поступак у складу са Законом о јавној својини.</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xml:space="preserve">Решава се питање регулисања накнаде за </w:t>
            </w:r>
            <w:proofErr w:type="spellStart"/>
            <w:r w:rsidRPr="00B517C5">
              <w:rPr>
                <w:rFonts w:ascii="Verdana" w:hAnsi="Verdana" w:cs="Times New Roman"/>
                <w:sz w:val="15"/>
                <w:szCs w:val="15"/>
                <w:lang w:val="sr-Cyrl-RS"/>
              </w:rPr>
              <w:t>пренамену</w:t>
            </w:r>
            <w:proofErr w:type="spellEnd"/>
            <w:r w:rsidRPr="00B517C5">
              <w:rPr>
                <w:rFonts w:ascii="Verdana" w:hAnsi="Verdana" w:cs="Times New Roman"/>
                <w:sz w:val="15"/>
                <w:szCs w:val="15"/>
                <w:lang w:val="sr-Cyrl-RS"/>
              </w:rPr>
              <w:t xml:space="preserve"> шумског у грађевинско земљиште за </w:t>
            </w:r>
            <w:r w:rsidRPr="00B517C5">
              <w:rPr>
                <w:rFonts w:ascii="Verdana" w:hAnsi="Verdana" w:cs="Times New Roman"/>
                <w:sz w:val="15"/>
                <w:szCs w:val="15"/>
                <w:lang w:val="sr-Cyrl-RS"/>
              </w:rPr>
              <w:lastRenderedPageBreak/>
              <w:t>шта су ребалансом опредељена одређена средства у буџету АПВ.</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Решавају се сва питања везана за изградњу обилазне саобраћајнице око комплекса а што је у надлежности града Сремске Митровице.</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xml:space="preserve">У току је сагледавање и решавање проблема који се односе на </w:t>
            </w:r>
            <w:proofErr w:type="spellStart"/>
            <w:r w:rsidRPr="00B517C5">
              <w:rPr>
                <w:rFonts w:ascii="Verdana" w:hAnsi="Verdana" w:cs="Times New Roman"/>
                <w:sz w:val="15"/>
                <w:szCs w:val="15"/>
                <w:lang w:val="sr-Cyrl-RS"/>
              </w:rPr>
              <w:t>инфраструктурно</w:t>
            </w:r>
            <w:proofErr w:type="spellEnd"/>
            <w:r w:rsidRPr="00B517C5">
              <w:rPr>
                <w:rFonts w:ascii="Verdana" w:hAnsi="Verdana" w:cs="Times New Roman"/>
                <w:sz w:val="15"/>
                <w:szCs w:val="15"/>
                <w:lang w:val="sr-Cyrl-RS"/>
              </w:rPr>
              <w:t xml:space="preserve"> опремање локације – изградња гасовода, реконструкција водоводне мреже, одвођење отпадних вода, </w:t>
            </w:r>
            <w:proofErr w:type="spellStart"/>
            <w:r w:rsidRPr="00B517C5">
              <w:rPr>
                <w:rFonts w:ascii="Verdana" w:hAnsi="Verdana" w:cs="Times New Roman"/>
                <w:sz w:val="15"/>
                <w:szCs w:val="15"/>
                <w:lang w:val="sr-Cyrl-RS"/>
              </w:rPr>
              <w:t>електроснабдевање</w:t>
            </w:r>
            <w:proofErr w:type="spellEnd"/>
            <w:r w:rsidRPr="00B517C5">
              <w:rPr>
                <w:rFonts w:ascii="Verdana" w:hAnsi="Verdana" w:cs="Times New Roman"/>
                <w:sz w:val="15"/>
                <w:szCs w:val="15"/>
                <w:lang w:val="sr-Cyrl-RS"/>
              </w:rPr>
              <w:t xml:space="preserve"> </w:t>
            </w:r>
            <w:proofErr w:type="spellStart"/>
            <w:r w:rsidRPr="00B517C5">
              <w:rPr>
                <w:rFonts w:ascii="Verdana" w:hAnsi="Verdana" w:cs="Times New Roman"/>
                <w:sz w:val="15"/>
                <w:szCs w:val="15"/>
                <w:lang w:val="sr-Cyrl-RS"/>
              </w:rPr>
              <w:t>идр</w:t>
            </w:r>
            <w:proofErr w:type="spellEnd"/>
            <w:r w:rsidRPr="00B517C5">
              <w:rPr>
                <w:rFonts w:ascii="Verdana" w:hAnsi="Verdana" w:cs="Times New Roman"/>
                <w:sz w:val="15"/>
                <w:szCs w:val="15"/>
                <w:lang w:val="sr-Cyrl-RS"/>
              </w:rPr>
              <w:t xml:space="preserve">. </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xml:space="preserve">У току је израда пројектне документације од стране пројектанта изабраног по основу спроведене Јавне набавке. У овом тренутку, завршена је израда идејног решења целог комплекса, поднет је захтев за прибављање </w:t>
            </w:r>
            <w:proofErr w:type="spellStart"/>
            <w:r w:rsidRPr="00B517C5">
              <w:rPr>
                <w:rFonts w:ascii="Verdana" w:hAnsi="Verdana" w:cs="Times New Roman"/>
                <w:sz w:val="15"/>
                <w:szCs w:val="15"/>
                <w:lang w:val="sr-Cyrl-RS"/>
              </w:rPr>
              <w:t>локацијских</w:t>
            </w:r>
            <w:proofErr w:type="spellEnd"/>
            <w:r w:rsidRPr="00B517C5">
              <w:rPr>
                <w:rFonts w:ascii="Verdana" w:hAnsi="Verdana" w:cs="Times New Roman"/>
                <w:sz w:val="15"/>
                <w:szCs w:val="15"/>
                <w:lang w:val="sr-Cyrl-RS"/>
              </w:rPr>
              <w:t xml:space="preserve"> услова, а у наредном периоду планирана је израда Идејног пројекта целог комплекса, пројекта за грађевинску дозволу и пројекта за извођење радова за прву фазу. У току је припрема конкурсне документације за набавку пројекта за грађевинску дозволу и пројекта за извођење радова за другу фазу.</w:t>
            </w:r>
          </w:p>
          <w:p w:rsidR="00010150" w:rsidRPr="00B517C5" w:rsidRDefault="00010150" w:rsidP="004C3E03">
            <w:pPr>
              <w:rPr>
                <w:rFonts w:ascii="Verdana" w:hAnsi="Verdana" w:cs="Times New Roman"/>
                <w:sz w:val="15"/>
                <w:szCs w:val="15"/>
                <w:lang w:val="sr-Cyrl-RS"/>
              </w:rPr>
            </w:pPr>
            <w:r w:rsidRPr="00B517C5">
              <w:rPr>
                <w:rFonts w:ascii="Verdana" w:hAnsi="Verdana" w:cs="Times New Roman"/>
                <w:sz w:val="15"/>
                <w:szCs w:val="15"/>
                <w:lang w:val="sr-Cyrl-RS"/>
              </w:rPr>
              <w:t xml:space="preserve">Донета је одлука о изради новог ПДР-а, а у складу са техничким решењем </w:t>
            </w:r>
            <w:proofErr w:type="spellStart"/>
            <w:r w:rsidRPr="00B517C5">
              <w:rPr>
                <w:rFonts w:ascii="Verdana" w:hAnsi="Verdana" w:cs="Times New Roman"/>
                <w:sz w:val="15"/>
                <w:szCs w:val="15"/>
                <w:lang w:val="sr-Cyrl-RS"/>
              </w:rPr>
              <w:lastRenderedPageBreak/>
              <w:t>гасоводне</w:t>
            </w:r>
            <w:proofErr w:type="spellEnd"/>
            <w:r w:rsidRPr="00B517C5">
              <w:rPr>
                <w:rFonts w:ascii="Verdana" w:hAnsi="Verdana" w:cs="Times New Roman"/>
                <w:sz w:val="15"/>
                <w:szCs w:val="15"/>
                <w:lang w:val="sr-Cyrl-RS"/>
              </w:rPr>
              <w:t xml:space="preserve"> инфраструктуре радиће се ППППН за ДГ од </w:t>
            </w:r>
            <w:proofErr w:type="spellStart"/>
            <w:r w:rsidRPr="00B517C5">
              <w:rPr>
                <w:rFonts w:ascii="Verdana" w:hAnsi="Verdana" w:cs="Times New Roman"/>
                <w:sz w:val="15"/>
                <w:szCs w:val="15"/>
                <w:lang w:val="sr-Cyrl-RS"/>
              </w:rPr>
              <w:t>Ривице</w:t>
            </w:r>
            <w:proofErr w:type="spellEnd"/>
            <w:r w:rsidRPr="00B517C5">
              <w:rPr>
                <w:rFonts w:ascii="Verdana" w:hAnsi="Verdana" w:cs="Times New Roman"/>
                <w:sz w:val="15"/>
                <w:szCs w:val="15"/>
                <w:lang w:val="sr-Cyrl-RS"/>
              </w:rPr>
              <w:t xml:space="preserve"> до </w:t>
            </w:r>
            <w:proofErr w:type="spellStart"/>
            <w:r w:rsidRPr="00B517C5">
              <w:rPr>
                <w:rFonts w:ascii="Verdana" w:hAnsi="Verdana" w:cs="Times New Roman"/>
                <w:sz w:val="15"/>
                <w:szCs w:val="15"/>
                <w:lang w:val="sr-Cyrl-RS"/>
              </w:rPr>
              <w:t>Летенке</w:t>
            </w:r>
            <w:proofErr w:type="spellEnd"/>
            <w:r w:rsidRPr="00B517C5">
              <w:rPr>
                <w:rFonts w:ascii="Verdana" w:hAnsi="Verdana" w:cs="Times New Roman"/>
                <w:sz w:val="15"/>
                <w:szCs w:val="15"/>
                <w:lang w:val="sr-Cyrl-RS"/>
              </w:rPr>
              <w:t>.</w:t>
            </w:r>
          </w:p>
          <w:p w:rsidR="00010150" w:rsidRPr="00B517C5" w:rsidRDefault="00010150" w:rsidP="004C3E03">
            <w:pPr>
              <w:spacing w:after="60"/>
              <w:jc w:val="left"/>
              <w:rPr>
                <w:rFonts w:ascii="Verdana" w:hAnsi="Verdana" w:cs="Times New Roman"/>
                <w:sz w:val="16"/>
                <w:szCs w:val="15"/>
                <w:lang w:val="sr-Cyrl-RS"/>
              </w:rPr>
            </w:pPr>
            <w:r w:rsidRPr="00B517C5">
              <w:rPr>
                <w:rFonts w:ascii="Verdana" w:hAnsi="Verdana" w:cs="Times New Roman"/>
                <w:sz w:val="15"/>
                <w:szCs w:val="15"/>
                <w:lang w:val="sr-Cyrl-RS"/>
              </w:rPr>
              <w:t xml:space="preserve">Израда ППППН ИК дистрибутивног гасовода </w:t>
            </w:r>
            <w:proofErr w:type="spellStart"/>
            <w:r w:rsidRPr="00B517C5">
              <w:rPr>
                <w:rFonts w:ascii="Verdana" w:hAnsi="Verdana" w:cs="Times New Roman"/>
                <w:sz w:val="15"/>
                <w:szCs w:val="15"/>
                <w:lang w:val="sr-Cyrl-RS"/>
              </w:rPr>
              <w:t>Ривица</w:t>
            </w:r>
            <w:proofErr w:type="spellEnd"/>
            <w:r w:rsidRPr="00B517C5">
              <w:rPr>
                <w:rFonts w:ascii="Verdana" w:hAnsi="Verdana" w:cs="Times New Roman"/>
                <w:sz w:val="15"/>
                <w:szCs w:val="15"/>
                <w:lang w:val="sr-Cyrl-RS"/>
              </w:rPr>
              <w:t>-</w:t>
            </w:r>
            <w:proofErr w:type="spellStart"/>
            <w:r w:rsidRPr="00B517C5">
              <w:rPr>
                <w:rFonts w:ascii="Verdana" w:hAnsi="Verdana" w:cs="Times New Roman"/>
                <w:sz w:val="15"/>
                <w:szCs w:val="15"/>
                <w:lang w:val="sr-Cyrl-RS"/>
              </w:rPr>
              <w:t>Јазак</w:t>
            </w:r>
            <w:proofErr w:type="spellEnd"/>
            <w:r w:rsidRPr="00B517C5">
              <w:rPr>
                <w:rFonts w:ascii="Verdana" w:hAnsi="Verdana" w:cs="Times New Roman"/>
                <w:sz w:val="15"/>
                <w:szCs w:val="15"/>
                <w:lang w:val="sr-Cyrl-RS"/>
              </w:rPr>
              <w:t>-„</w:t>
            </w:r>
            <w:proofErr w:type="spellStart"/>
            <w:r w:rsidRPr="00B517C5">
              <w:rPr>
                <w:rFonts w:ascii="Verdana" w:hAnsi="Verdana" w:cs="Times New Roman"/>
                <w:sz w:val="15"/>
                <w:szCs w:val="15"/>
                <w:lang w:val="sr-Cyrl-RS"/>
              </w:rPr>
              <w:t>Летенка</w:t>
            </w:r>
            <w:proofErr w:type="spellEnd"/>
            <w:r w:rsidRPr="00B517C5">
              <w:rPr>
                <w:rFonts w:ascii="Verdana" w:hAnsi="Verdana" w:cs="Times New Roman"/>
                <w:sz w:val="15"/>
                <w:szCs w:val="15"/>
                <w:lang w:val="sr-Cyrl-RS"/>
              </w:rPr>
              <w:t>“ са елементима детаљне регулације.</w:t>
            </w:r>
          </w:p>
        </w:tc>
        <w:tc>
          <w:tcPr>
            <w:tcW w:w="2552" w:type="dxa"/>
            <w:shd w:val="clear" w:color="auto" w:fill="auto"/>
            <w:vAlign w:val="center"/>
          </w:tcPr>
          <w:p w:rsidR="00010150" w:rsidRPr="00B517C5" w:rsidRDefault="00010150" w:rsidP="004C3E03">
            <w:pPr>
              <w:spacing w:after="60"/>
              <w:jc w:val="center"/>
              <w:rPr>
                <w:rFonts w:ascii="Verdana" w:hAnsi="Verdana" w:cs="Times New Roman"/>
                <w:sz w:val="15"/>
                <w:szCs w:val="15"/>
                <w:lang w:val="sr-Cyrl-RS"/>
              </w:rPr>
            </w:pPr>
            <w:r w:rsidRPr="00B517C5">
              <w:rPr>
                <w:rFonts w:ascii="Verdana" w:hAnsi="Verdana" w:cs="Times New Roman"/>
                <w:sz w:val="15"/>
                <w:szCs w:val="15"/>
                <w:lang w:val="sr-Cyrl-RS"/>
              </w:rPr>
              <w:lastRenderedPageBreak/>
              <w:t>ПССО,</w:t>
            </w:r>
          </w:p>
          <w:p w:rsidR="00010150" w:rsidRPr="00B517C5" w:rsidRDefault="00010150" w:rsidP="004C3E03">
            <w:pPr>
              <w:jc w:val="center"/>
              <w:rPr>
                <w:lang w:val="sr-Cyrl-RS"/>
              </w:rPr>
            </w:pPr>
            <w:r w:rsidRPr="00B517C5">
              <w:rPr>
                <w:rFonts w:ascii="Verdana" w:hAnsi="Verdana" w:cs="Times New Roman"/>
                <w:sz w:val="15"/>
                <w:szCs w:val="15"/>
                <w:lang w:val="sr-Cyrl-RS"/>
              </w:rPr>
              <w:t>ПСУЗЖС,</w:t>
            </w:r>
          </w:p>
          <w:p w:rsidR="00010150" w:rsidRPr="00B517C5" w:rsidRDefault="00010150" w:rsidP="004C3E03">
            <w:pPr>
              <w:spacing w:after="60"/>
              <w:jc w:val="center"/>
              <w:rPr>
                <w:rFonts w:ascii="Verdana" w:hAnsi="Verdana" w:cs="Times New Roman"/>
                <w:sz w:val="15"/>
                <w:szCs w:val="15"/>
                <w:lang w:val="sr-Cyrl-RS"/>
              </w:rPr>
            </w:pPr>
            <w:r w:rsidRPr="00B517C5">
              <w:rPr>
                <w:rFonts w:ascii="Verdana" w:hAnsi="Verdana" w:cs="Times New Roman"/>
                <w:sz w:val="15"/>
                <w:szCs w:val="15"/>
                <w:lang w:val="sr-Cyrl-RS"/>
              </w:rPr>
              <w:t>ЈП „Завод за урбанизам Војводине“</w:t>
            </w:r>
          </w:p>
        </w:tc>
        <w:tc>
          <w:tcPr>
            <w:tcW w:w="2881" w:type="dxa"/>
            <w:shd w:val="clear" w:color="auto" w:fill="auto"/>
            <w:vAlign w:val="center"/>
          </w:tcPr>
          <w:p w:rsidR="00010150" w:rsidRPr="00B517C5" w:rsidRDefault="00010150" w:rsidP="004C3E03">
            <w:pPr>
              <w:jc w:val="center"/>
              <w:rPr>
                <w:rFonts w:ascii="Verdana" w:hAnsi="Verdana"/>
                <w:sz w:val="18"/>
                <w:lang w:val="sr-Cyrl-RS"/>
              </w:rPr>
            </w:pPr>
          </w:p>
        </w:tc>
        <w:tc>
          <w:tcPr>
            <w:tcW w:w="2933" w:type="dxa"/>
            <w:shd w:val="clear" w:color="auto" w:fill="auto"/>
            <w:vAlign w:val="center"/>
          </w:tcPr>
          <w:p w:rsidR="00010150" w:rsidRPr="00B517C5" w:rsidRDefault="00010150" w:rsidP="004C3E03">
            <w:pPr>
              <w:spacing w:after="60"/>
              <w:jc w:val="center"/>
              <w:rPr>
                <w:rFonts w:ascii="Verdana" w:hAnsi="Verdana" w:cs="Times New Roman"/>
                <w:sz w:val="18"/>
                <w:szCs w:val="15"/>
                <w:lang w:val="sr-Cyrl-RS"/>
              </w:rPr>
            </w:pPr>
          </w:p>
        </w:tc>
      </w:tr>
      <w:tr w:rsidR="00010150" w:rsidRPr="00BF5053" w:rsidTr="004C3E03">
        <w:trPr>
          <w:trHeight w:val="495"/>
          <w:jc w:val="center"/>
        </w:trPr>
        <w:tc>
          <w:tcPr>
            <w:tcW w:w="1358" w:type="dxa"/>
            <w:vMerge/>
            <w:shd w:val="clear" w:color="auto" w:fill="auto"/>
            <w:vAlign w:val="center"/>
          </w:tcPr>
          <w:p w:rsidR="00010150" w:rsidRPr="00BF5053" w:rsidRDefault="00010150" w:rsidP="004C3E03">
            <w:pPr>
              <w:spacing w:after="60"/>
              <w:jc w:val="center"/>
              <w:rPr>
                <w:rFonts w:ascii="Verdana" w:eastAsia="Times New Roman" w:hAnsi="Verdana" w:cs="Times New Roman"/>
                <w:sz w:val="16"/>
                <w:szCs w:val="15"/>
                <w:lang w:val="sr-Cyrl-RS" w:eastAsia="sr-Latn-RS"/>
              </w:rPr>
            </w:pPr>
          </w:p>
        </w:tc>
        <w:tc>
          <w:tcPr>
            <w:tcW w:w="1275" w:type="dxa"/>
            <w:vMerge/>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p>
        </w:tc>
        <w:tc>
          <w:tcPr>
            <w:tcW w:w="2410" w:type="dxa"/>
            <w:shd w:val="clear" w:color="auto" w:fill="auto"/>
            <w:vAlign w:val="center"/>
          </w:tcPr>
          <w:p w:rsidR="00010150" w:rsidRPr="00B517C5" w:rsidRDefault="00010150" w:rsidP="004C3E03">
            <w:pPr>
              <w:spacing w:after="60"/>
              <w:jc w:val="left"/>
              <w:rPr>
                <w:rFonts w:ascii="Verdana" w:hAnsi="Verdana" w:cs="Times New Roman"/>
                <w:sz w:val="15"/>
                <w:szCs w:val="15"/>
                <w:lang w:val="sr-Cyrl-RS"/>
              </w:rPr>
            </w:pPr>
            <w:r w:rsidRPr="00B517C5">
              <w:rPr>
                <w:rFonts w:ascii="Verdana" w:hAnsi="Verdana" w:cs="Times New Roman"/>
                <w:sz w:val="15"/>
                <w:szCs w:val="15"/>
                <w:lang w:val="sr-Cyrl-RS"/>
              </w:rPr>
              <w:t>Стратегија развоја школског спорта</w:t>
            </w:r>
          </w:p>
          <w:p w:rsidR="00010150" w:rsidRPr="00B517C5" w:rsidRDefault="00010150" w:rsidP="004C3E03">
            <w:pPr>
              <w:spacing w:after="60"/>
              <w:jc w:val="left"/>
              <w:rPr>
                <w:rFonts w:ascii="Verdana" w:hAnsi="Verdana" w:cs="Times New Roman"/>
                <w:sz w:val="16"/>
                <w:szCs w:val="15"/>
                <w:lang w:val="sr-Cyrl-RS"/>
              </w:rPr>
            </w:pPr>
            <w:r w:rsidRPr="00B517C5">
              <w:rPr>
                <w:rFonts w:ascii="Verdana" w:hAnsi="Verdana" w:cs="Times New Roman"/>
                <w:sz w:val="15"/>
                <w:szCs w:val="15"/>
                <w:lang w:val="sr-Cyrl-RS"/>
              </w:rPr>
              <w:t>- Актуелни стратешки документ Програм развоја спорта у АПВ 2016-2018 и Акциони план за спровођење Програма развоја спорта у АПВ 2016-2018 је дефинисао као један од приоритета развој спорта деце и омладине, укључујући школски и универзитетски спорт.</w:t>
            </w:r>
          </w:p>
        </w:tc>
        <w:tc>
          <w:tcPr>
            <w:tcW w:w="2552" w:type="dxa"/>
            <w:shd w:val="clear" w:color="auto" w:fill="auto"/>
            <w:vAlign w:val="center"/>
          </w:tcPr>
          <w:p w:rsidR="00010150" w:rsidRPr="00B517C5" w:rsidRDefault="00010150" w:rsidP="004C3E03">
            <w:pPr>
              <w:spacing w:after="60"/>
              <w:jc w:val="center"/>
              <w:rPr>
                <w:rFonts w:ascii="Verdana" w:hAnsi="Verdana" w:cs="Times New Roman"/>
                <w:sz w:val="15"/>
                <w:szCs w:val="15"/>
                <w:lang w:val="sr-Cyrl-RS"/>
              </w:rPr>
            </w:pPr>
            <w:r w:rsidRPr="00B517C5">
              <w:rPr>
                <w:rFonts w:ascii="Verdana" w:hAnsi="Verdana" w:cs="Times New Roman"/>
                <w:sz w:val="15"/>
                <w:szCs w:val="15"/>
                <w:lang w:val="sr-Cyrl-RS"/>
              </w:rPr>
              <w:t>ПССО</w:t>
            </w:r>
          </w:p>
        </w:tc>
        <w:tc>
          <w:tcPr>
            <w:tcW w:w="2881"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c>
          <w:tcPr>
            <w:tcW w:w="2933"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r>
      <w:tr w:rsidR="00010150" w:rsidRPr="00BF5053" w:rsidTr="004C3E03">
        <w:trPr>
          <w:trHeight w:val="43"/>
          <w:jc w:val="center"/>
        </w:trPr>
        <w:tc>
          <w:tcPr>
            <w:tcW w:w="1358" w:type="dxa"/>
            <w:vMerge/>
            <w:shd w:val="clear" w:color="auto" w:fill="auto"/>
            <w:vAlign w:val="center"/>
          </w:tcPr>
          <w:p w:rsidR="00010150" w:rsidRPr="00BF5053" w:rsidRDefault="00010150" w:rsidP="004C3E03">
            <w:pPr>
              <w:spacing w:after="60"/>
              <w:jc w:val="center"/>
              <w:rPr>
                <w:rFonts w:ascii="Verdana" w:eastAsia="Times New Roman" w:hAnsi="Verdana" w:cs="Times New Roman"/>
                <w:sz w:val="16"/>
                <w:szCs w:val="15"/>
                <w:lang w:val="sr-Cyrl-RS" w:eastAsia="sr-Latn-RS"/>
              </w:rPr>
            </w:pPr>
          </w:p>
        </w:tc>
        <w:tc>
          <w:tcPr>
            <w:tcW w:w="1275" w:type="dxa"/>
            <w:vMerge/>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p>
        </w:tc>
        <w:tc>
          <w:tcPr>
            <w:tcW w:w="2410" w:type="dxa"/>
            <w:shd w:val="clear" w:color="auto" w:fill="auto"/>
            <w:vAlign w:val="center"/>
          </w:tcPr>
          <w:p w:rsidR="00010150" w:rsidRPr="00B517C5" w:rsidRDefault="00010150" w:rsidP="004C3E03">
            <w:pPr>
              <w:spacing w:after="60"/>
              <w:jc w:val="left"/>
              <w:rPr>
                <w:rFonts w:ascii="Verdana" w:hAnsi="Verdana" w:cs="Times New Roman"/>
                <w:sz w:val="15"/>
                <w:szCs w:val="15"/>
                <w:lang w:val="sr-Cyrl-RS"/>
              </w:rPr>
            </w:pPr>
            <w:proofErr w:type="spellStart"/>
            <w:r w:rsidRPr="00B517C5">
              <w:rPr>
                <w:rFonts w:ascii="Verdana" w:hAnsi="Verdana" w:cs="Times New Roman"/>
                <w:sz w:val="15"/>
                <w:szCs w:val="15"/>
                <w:lang w:val="sr-Cyrl-RS"/>
              </w:rPr>
              <w:t>Мултифункционални</w:t>
            </w:r>
            <w:proofErr w:type="spellEnd"/>
            <w:r w:rsidRPr="00B517C5">
              <w:rPr>
                <w:rFonts w:ascii="Verdana" w:hAnsi="Verdana" w:cs="Times New Roman"/>
                <w:sz w:val="15"/>
                <w:szCs w:val="15"/>
                <w:lang w:val="sr-Cyrl-RS"/>
              </w:rPr>
              <w:t xml:space="preserve"> центри за младе</w:t>
            </w:r>
          </w:p>
          <w:p w:rsidR="00010150" w:rsidRPr="00B517C5" w:rsidRDefault="00010150" w:rsidP="004C3E03">
            <w:pPr>
              <w:spacing w:after="60"/>
              <w:jc w:val="left"/>
              <w:rPr>
                <w:rFonts w:ascii="Verdana" w:hAnsi="Verdana" w:cs="Times New Roman"/>
                <w:sz w:val="16"/>
                <w:szCs w:val="15"/>
                <w:lang w:val="sr-Cyrl-RS"/>
              </w:rPr>
            </w:pPr>
            <w:r w:rsidRPr="00B517C5">
              <w:rPr>
                <w:rFonts w:ascii="Verdana" w:hAnsi="Verdana" w:cs="Times New Roman"/>
                <w:sz w:val="15"/>
                <w:szCs w:val="15"/>
                <w:lang w:val="sr-Cyrl-RS"/>
              </w:rPr>
              <w:t>- Наставља се са реализацијом Акционог плана политике за младе у АП Војводини (2015-2020) кроз подршку пројектима удружења, ЈЛС и установама које се баве младима.</w:t>
            </w:r>
          </w:p>
        </w:tc>
        <w:tc>
          <w:tcPr>
            <w:tcW w:w="2552" w:type="dxa"/>
            <w:shd w:val="clear" w:color="auto" w:fill="auto"/>
            <w:vAlign w:val="center"/>
          </w:tcPr>
          <w:p w:rsidR="00010150" w:rsidRPr="00B517C5" w:rsidRDefault="00010150" w:rsidP="004C3E03">
            <w:pPr>
              <w:spacing w:after="60"/>
              <w:jc w:val="center"/>
              <w:rPr>
                <w:rFonts w:ascii="Verdana" w:hAnsi="Verdana" w:cs="Times New Roman"/>
                <w:sz w:val="15"/>
                <w:szCs w:val="15"/>
                <w:lang w:val="sr-Cyrl-RS"/>
              </w:rPr>
            </w:pPr>
            <w:r w:rsidRPr="00B517C5">
              <w:rPr>
                <w:rFonts w:ascii="Verdana" w:hAnsi="Verdana" w:cs="Times New Roman"/>
                <w:sz w:val="15"/>
                <w:szCs w:val="15"/>
                <w:lang w:val="sr-Cyrl-RS"/>
              </w:rPr>
              <w:t>ПССО</w:t>
            </w:r>
          </w:p>
        </w:tc>
        <w:tc>
          <w:tcPr>
            <w:tcW w:w="2881"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c>
          <w:tcPr>
            <w:tcW w:w="2933"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r>
      <w:tr w:rsidR="00010150" w:rsidRPr="00BF5053" w:rsidTr="004C3E03">
        <w:trPr>
          <w:trHeight w:val="43"/>
          <w:jc w:val="center"/>
        </w:trPr>
        <w:tc>
          <w:tcPr>
            <w:tcW w:w="1358" w:type="dxa"/>
            <w:shd w:val="clear" w:color="auto" w:fill="auto"/>
            <w:vAlign w:val="center"/>
          </w:tcPr>
          <w:p w:rsidR="00010150" w:rsidRPr="00BF5053" w:rsidRDefault="00010150" w:rsidP="004C3E03">
            <w:pPr>
              <w:spacing w:after="60"/>
              <w:jc w:val="center"/>
              <w:rPr>
                <w:rFonts w:ascii="Verdana" w:eastAsia="Times New Roman" w:hAnsi="Verdana" w:cs="Times New Roman"/>
                <w:sz w:val="16"/>
                <w:szCs w:val="15"/>
                <w:lang w:val="sr-Cyrl-RS" w:eastAsia="sr-Latn-RS"/>
              </w:rPr>
            </w:pPr>
            <w:r w:rsidRPr="00BF5053">
              <w:rPr>
                <w:rFonts w:ascii="Verdana" w:eastAsia="Times New Roman" w:hAnsi="Verdana" w:cs="Times New Roman"/>
                <w:sz w:val="16"/>
                <w:szCs w:val="15"/>
                <w:lang w:val="sr-Cyrl-RS" w:eastAsia="sr-Latn-RS"/>
              </w:rPr>
              <w:t>48.</w:t>
            </w:r>
          </w:p>
        </w:tc>
        <w:tc>
          <w:tcPr>
            <w:tcW w:w="3685" w:type="dxa"/>
            <w:gridSpan w:val="2"/>
            <w:shd w:val="clear" w:color="auto" w:fill="auto"/>
            <w:vAlign w:val="center"/>
          </w:tcPr>
          <w:p w:rsidR="00010150" w:rsidRPr="00BF5053" w:rsidRDefault="00010150" w:rsidP="004C3E03">
            <w:pPr>
              <w:spacing w:after="60"/>
              <w:jc w:val="left"/>
              <w:rPr>
                <w:rFonts w:ascii="Verdana" w:hAnsi="Verdana" w:cs="Times New Roman"/>
                <w:sz w:val="16"/>
                <w:szCs w:val="15"/>
                <w:lang w:val="sr-Cyrl-RS"/>
              </w:rPr>
            </w:pPr>
            <w:r w:rsidRPr="00BF5053">
              <w:rPr>
                <w:rFonts w:ascii="Verdana" w:hAnsi="Verdana"/>
                <w:sz w:val="16"/>
                <w:szCs w:val="18"/>
                <w:lang w:val="sr-Cyrl-RS"/>
              </w:rPr>
              <w:t>Унапређење информационог система спорта у АПВ</w:t>
            </w:r>
          </w:p>
        </w:tc>
        <w:tc>
          <w:tcPr>
            <w:tcW w:w="2552"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r w:rsidRPr="00BF5053">
              <w:rPr>
                <w:rFonts w:ascii="Verdana" w:hAnsi="Verdana"/>
                <w:sz w:val="15"/>
                <w:szCs w:val="15"/>
                <w:lang w:val="sr-Cyrl-RS"/>
              </w:rPr>
              <w:t>ПССО</w:t>
            </w:r>
          </w:p>
        </w:tc>
        <w:tc>
          <w:tcPr>
            <w:tcW w:w="2881"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c>
          <w:tcPr>
            <w:tcW w:w="2933" w:type="dxa"/>
            <w:shd w:val="clear" w:color="auto" w:fill="auto"/>
            <w:vAlign w:val="center"/>
          </w:tcPr>
          <w:p w:rsidR="00010150" w:rsidRPr="00BF5053" w:rsidRDefault="00010150" w:rsidP="004C3E03">
            <w:pPr>
              <w:spacing w:after="60"/>
              <w:jc w:val="center"/>
              <w:rPr>
                <w:rFonts w:ascii="Verdana" w:hAnsi="Verdana" w:cs="Times New Roman"/>
                <w:sz w:val="15"/>
                <w:szCs w:val="15"/>
                <w:lang w:val="sr-Cyrl-RS"/>
              </w:rPr>
            </w:pPr>
          </w:p>
        </w:tc>
      </w:tr>
    </w:tbl>
    <w:p w:rsidR="00010150" w:rsidRPr="00BF5053" w:rsidRDefault="00010150" w:rsidP="00010150">
      <w:pPr>
        <w:rPr>
          <w:rFonts w:ascii="Verdana" w:hAnsi="Verdana"/>
          <w:sz w:val="20"/>
          <w:szCs w:val="20"/>
          <w:lang w:val="sr-Cyrl-RS"/>
        </w:rPr>
      </w:pPr>
    </w:p>
    <w:p w:rsidR="00010150" w:rsidRDefault="00010150" w:rsidP="00010150">
      <w:pPr>
        <w:rPr>
          <w:lang w:val="sr-Cyrl-RS"/>
        </w:rPr>
      </w:pPr>
    </w:p>
    <w:p w:rsidR="00010150" w:rsidRDefault="00010150" w:rsidP="00010150">
      <w:pPr>
        <w:rPr>
          <w:lang w:val="sr-Cyrl-RS"/>
        </w:rPr>
      </w:pPr>
    </w:p>
    <w:p w:rsidR="00CB29B8" w:rsidRDefault="00CB29B8"/>
    <w:sectPr w:rsidR="00CB29B8" w:rsidSect="00010150">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1D" w:rsidRDefault="00C5171D" w:rsidP="00360465">
      <w:r>
        <w:separator/>
      </w:r>
    </w:p>
  </w:endnote>
  <w:endnote w:type="continuationSeparator" w:id="0">
    <w:p w:rsidR="00C5171D" w:rsidRDefault="00C5171D" w:rsidP="0036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65" w:rsidRDefault="003604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65" w:rsidRDefault="00360465" w:rsidP="00360465">
    <w:pPr>
      <w:tabs>
        <w:tab w:val="center" w:pos="4680"/>
        <w:tab w:val="right" w:pos="9360"/>
      </w:tabs>
      <w:jc w:val="center"/>
      <w:rPr>
        <w:rFonts w:eastAsia="Verdana"/>
        <w:noProof/>
        <w:color w:val="808080"/>
        <w:sz w:val="12"/>
        <w:szCs w:val="12"/>
        <w:lang w:val="sr-Cyrl-RS"/>
      </w:rPr>
    </w:pPr>
    <w:r w:rsidRPr="008F4DE5">
      <w:rPr>
        <w:rFonts w:eastAsia="Verdana"/>
        <w:noProof/>
        <w:sz w:val="16"/>
        <w:lang w:eastAsia="sr-Cyrl-RS"/>
      </w:rPr>
      <w:drawing>
        <wp:anchor distT="0" distB="0" distL="114300" distR="114300" simplePos="0" relativeHeight="251659264" behindDoc="1" locked="0" layoutInCell="1" allowOverlap="1" wp14:anchorId="72BB0D10" wp14:editId="0CF126A9">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DE5">
      <w:rPr>
        <w:rFonts w:eastAsia="Verdana"/>
        <w:noProof/>
        <w:color w:val="808080"/>
        <w:sz w:val="12"/>
        <w:szCs w:val="12"/>
        <w:lang w:val="sr-Cyrl-CS"/>
      </w:rPr>
      <w:t>ЈАВНО ПРЕДУЗЕЋЕ ЗА ПРОСТОРНО И УРБАНИСТИЧКО ПЛАНИРАЊЕ И</w:t>
    </w:r>
    <w:r w:rsidRPr="008F4DE5">
      <w:rPr>
        <w:rFonts w:eastAsia="Verdana"/>
        <w:noProof/>
        <w:color w:val="808080"/>
        <w:sz w:val="12"/>
        <w:szCs w:val="12"/>
      </w:rPr>
      <w:t xml:space="preserve"> </w:t>
    </w:r>
    <w:r w:rsidRPr="008F4DE5">
      <w:rPr>
        <w:rFonts w:eastAsia="Verdana"/>
        <w:noProof/>
        <w:color w:val="808080"/>
        <w:sz w:val="12"/>
        <w:szCs w:val="12"/>
        <w:lang w:val="sr-Cyrl-CS"/>
      </w:rPr>
      <w:t xml:space="preserve">ПРОЈЕКТОВАЊЕ "ЗАВОД ЗА УРБАНИЗАМ ВОЈВОДИНЕ", </w:t>
    </w:r>
    <w:r w:rsidRPr="008F4DE5">
      <w:rPr>
        <w:rFonts w:eastAsia="Verdana"/>
        <w:noProof/>
        <w:color w:val="808080"/>
        <w:sz w:val="12"/>
        <w:szCs w:val="12"/>
        <w:lang w:val="sr-Cyrl-CS"/>
      </w:rPr>
      <w:br/>
      <w:t>НОВИ САД, ЖЕЛЕЗНИЧКА 6/</w:t>
    </w:r>
    <w:r w:rsidRPr="008F4DE5">
      <w:rPr>
        <w:rFonts w:eastAsia="Verdana"/>
        <w:noProof/>
        <w:color w:val="808080"/>
        <w:sz w:val="12"/>
        <w:szCs w:val="12"/>
        <w:lang w:val="sr-Latn-CS"/>
      </w:rPr>
      <w:t>III</w:t>
    </w:r>
  </w:p>
  <w:p w:rsidR="00360465" w:rsidRPr="00DE5E4E" w:rsidRDefault="00360465" w:rsidP="00360465">
    <w:pPr>
      <w:tabs>
        <w:tab w:val="center" w:pos="4680"/>
        <w:tab w:val="right" w:pos="9360"/>
      </w:tabs>
      <w:jc w:val="center"/>
      <w:rPr>
        <w:rFonts w:eastAsia="Verdana"/>
        <w:noProof/>
        <w:color w:val="808080"/>
        <w:sz w:val="12"/>
        <w:szCs w:val="12"/>
        <w:lang w:val="sr-Cyrl-RS"/>
      </w:rPr>
    </w:pPr>
  </w:p>
  <w:p w:rsidR="00360465" w:rsidRPr="00360465" w:rsidRDefault="00360465" w:rsidP="00360465">
    <w:pPr>
      <w:tabs>
        <w:tab w:val="center" w:pos="4680"/>
        <w:tab w:val="right" w:pos="9360"/>
      </w:tabs>
      <w:jc w:val="center"/>
      <w:rPr>
        <w:rFonts w:eastAsia="Verdana"/>
        <w:sz w:val="16"/>
        <w:lang w:val="sr-Cyrl-RS"/>
      </w:rPr>
    </w:pPr>
    <w:r w:rsidRPr="008F4DE5">
      <w:rPr>
        <w:rFonts w:eastAsia="Verdana"/>
        <w:sz w:val="16"/>
      </w:rPr>
      <w:fldChar w:fldCharType="begin"/>
    </w:r>
    <w:r w:rsidRPr="008F4DE5">
      <w:rPr>
        <w:rFonts w:eastAsia="Verdana"/>
        <w:sz w:val="16"/>
      </w:rPr>
      <w:instrText xml:space="preserve"> PAGE   \* MERGEFORMAT </w:instrText>
    </w:r>
    <w:r w:rsidRPr="008F4DE5">
      <w:rPr>
        <w:rFonts w:eastAsia="Verdana"/>
        <w:sz w:val="16"/>
      </w:rPr>
      <w:fldChar w:fldCharType="separate"/>
    </w:r>
    <w:r w:rsidR="00553829">
      <w:rPr>
        <w:rFonts w:eastAsia="Verdana"/>
        <w:noProof/>
        <w:sz w:val="16"/>
      </w:rPr>
      <w:t>1</w:t>
    </w:r>
    <w:r w:rsidRPr="008F4DE5">
      <w:rPr>
        <w:rFonts w:eastAsia="Verdana"/>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65" w:rsidRDefault="00360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1D" w:rsidRDefault="00C5171D" w:rsidP="00360465">
      <w:r>
        <w:separator/>
      </w:r>
    </w:p>
  </w:footnote>
  <w:footnote w:type="continuationSeparator" w:id="0">
    <w:p w:rsidR="00C5171D" w:rsidRDefault="00C5171D" w:rsidP="0036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65" w:rsidRDefault="003604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829" w:rsidRPr="008F4DE5" w:rsidRDefault="00553829" w:rsidP="00553829">
    <w:pPr>
      <w:tabs>
        <w:tab w:val="center" w:pos="4680"/>
        <w:tab w:val="right" w:pos="9360"/>
      </w:tabs>
      <w:jc w:val="center"/>
      <w:rPr>
        <w:rFonts w:eastAsia="Verdana"/>
        <w:color w:val="A6A6A6"/>
        <w:sz w:val="16"/>
      </w:rPr>
    </w:pPr>
    <w:r>
      <w:rPr>
        <w:rFonts w:eastAsia="Verdana"/>
        <w:color w:val="A6A6A6"/>
        <w:sz w:val="16"/>
        <w:lang w:val="sr-Cyrl-RS"/>
      </w:rPr>
      <w:t xml:space="preserve">Извештај о остваривању </w:t>
    </w:r>
    <w:proofErr w:type="spellStart"/>
    <w:r w:rsidRPr="008F4DE5">
      <w:rPr>
        <w:rFonts w:eastAsia="Verdana"/>
        <w:color w:val="A6A6A6"/>
        <w:sz w:val="16"/>
      </w:rPr>
      <w:t>Регионалног</w:t>
    </w:r>
    <w:proofErr w:type="spellEnd"/>
    <w:r w:rsidRPr="008F4DE5">
      <w:rPr>
        <w:rFonts w:eastAsia="Verdana"/>
        <w:color w:val="A6A6A6"/>
        <w:sz w:val="16"/>
      </w:rPr>
      <w:t xml:space="preserve"> </w:t>
    </w:r>
    <w:proofErr w:type="spellStart"/>
    <w:r w:rsidRPr="008F4DE5">
      <w:rPr>
        <w:rFonts w:eastAsia="Verdana"/>
        <w:color w:val="A6A6A6"/>
        <w:sz w:val="16"/>
      </w:rPr>
      <w:t>просторног</w:t>
    </w:r>
    <w:proofErr w:type="spellEnd"/>
    <w:r w:rsidRPr="008F4DE5">
      <w:rPr>
        <w:rFonts w:eastAsia="Verdana"/>
        <w:color w:val="A6A6A6"/>
        <w:sz w:val="16"/>
      </w:rPr>
      <w:t xml:space="preserve"> </w:t>
    </w:r>
    <w:proofErr w:type="spellStart"/>
    <w:r w:rsidRPr="008F4DE5">
      <w:rPr>
        <w:rFonts w:eastAsia="Verdana"/>
        <w:color w:val="A6A6A6"/>
        <w:sz w:val="16"/>
      </w:rPr>
      <w:t>плана</w:t>
    </w:r>
    <w:proofErr w:type="spellEnd"/>
    <w:r w:rsidRPr="008F4DE5">
      <w:rPr>
        <w:rFonts w:eastAsia="Verdana"/>
        <w:color w:val="A6A6A6"/>
        <w:sz w:val="16"/>
      </w:rPr>
      <w:t xml:space="preserve"> АП </w:t>
    </w:r>
    <w:proofErr w:type="spellStart"/>
    <w:r w:rsidRPr="008F4DE5">
      <w:rPr>
        <w:rFonts w:eastAsia="Verdana"/>
        <w:color w:val="A6A6A6"/>
        <w:sz w:val="16"/>
      </w:rPr>
      <w:t>Војводине</w:t>
    </w:r>
    <w:proofErr w:type="spellEnd"/>
    <w:r w:rsidRPr="008F4DE5">
      <w:rPr>
        <w:rFonts w:eastAsia="Verdana"/>
        <w:color w:val="A6A6A6"/>
        <w:sz w:val="16"/>
      </w:rPr>
      <w:t xml:space="preserve"> </w:t>
    </w:r>
    <w:r>
      <w:rPr>
        <w:rFonts w:eastAsia="Verdana"/>
        <w:color w:val="A6A6A6"/>
        <w:sz w:val="16"/>
        <w:lang w:val="sr-Cyrl-RS"/>
      </w:rPr>
      <w:t xml:space="preserve">за период </w:t>
    </w:r>
    <w:r w:rsidRPr="008F4DE5">
      <w:rPr>
        <w:rFonts w:eastAsia="Verdana"/>
        <w:color w:val="A6A6A6"/>
        <w:sz w:val="16"/>
      </w:rPr>
      <w:t>201</w:t>
    </w:r>
    <w:r>
      <w:rPr>
        <w:rFonts w:eastAsia="Verdana"/>
        <w:color w:val="A6A6A6"/>
        <w:sz w:val="16"/>
        <w:lang w:val="sr-Cyrl-RS"/>
      </w:rPr>
      <w:t>8</w:t>
    </w:r>
    <w:r>
      <w:rPr>
        <w:rFonts w:eastAsia="Verdana"/>
        <w:color w:val="A6A6A6"/>
        <w:sz w:val="16"/>
      </w:rPr>
      <w:t>-20</w:t>
    </w:r>
    <w:r w:rsidRPr="008F4DE5">
      <w:rPr>
        <w:rFonts w:eastAsia="Verdana"/>
        <w:color w:val="A6A6A6"/>
        <w:sz w:val="16"/>
      </w:rPr>
      <w:t>1</w:t>
    </w:r>
    <w:r>
      <w:rPr>
        <w:rFonts w:eastAsia="Verdana"/>
        <w:color w:val="A6A6A6"/>
        <w:sz w:val="16"/>
        <w:lang w:val="sr-Cyrl-RS"/>
      </w:rPr>
      <w:t>9</w:t>
    </w:r>
    <w:r w:rsidRPr="008F4DE5">
      <w:rPr>
        <w:rFonts w:eastAsia="Verdana"/>
        <w:color w:val="A6A6A6"/>
        <w:sz w:val="16"/>
      </w:rPr>
      <w:t xml:space="preserve">. </w:t>
    </w:r>
    <w:proofErr w:type="spellStart"/>
    <w:proofErr w:type="gramStart"/>
    <w:r w:rsidRPr="008F4DE5">
      <w:rPr>
        <w:rFonts w:eastAsia="Verdana"/>
        <w:color w:val="A6A6A6"/>
        <w:sz w:val="16"/>
      </w:rPr>
      <w:t>године</w:t>
    </w:r>
    <w:proofErr w:type="spellEnd"/>
    <w:proofErr w:type="gramEnd"/>
  </w:p>
  <w:p w:rsidR="00360465" w:rsidRPr="00553829" w:rsidRDefault="00553829" w:rsidP="00553829">
    <w:pPr>
      <w:tabs>
        <w:tab w:val="center" w:pos="4680"/>
        <w:tab w:val="right" w:pos="9360"/>
      </w:tabs>
      <w:jc w:val="center"/>
      <w:rPr>
        <w:rFonts w:eastAsia="Verdana"/>
        <w:color w:val="A6A6A6"/>
        <w:sz w:val="16"/>
        <w:lang w:val="sr-Cyrl-RS"/>
      </w:rPr>
    </w:pPr>
    <w:r>
      <w:rPr>
        <w:rFonts w:eastAsia="Verdana"/>
        <w:sz w:val="16"/>
      </w:rPr>
      <w:pict>
        <v:rect id="_x0000_i1025" style="width:484.4pt;height:1pt" o:hralign="center" o:hrstd="t" o:hr="t" fillcolor="#a0a0a0" stroked="f"/>
      </w:pic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65" w:rsidRDefault="00360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50"/>
    <w:rsid w:val="00010150"/>
    <w:rsid w:val="00360465"/>
    <w:rsid w:val="00553829"/>
    <w:rsid w:val="00C5171D"/>
    <w:rsid w:val="00CB29B8"/>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Cs w:val="24"/>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50"/>
    <w:pPr>
      <w:spacing w:after="0" w:line="240" w:lineRule="auto"/>
      <w:jc w:val="both"/>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010150"/>
    <w:pPr>
      <w:keepNext/>
      <w:keepLines/>
      <w:outlineLvl w:val="0"/>
    </w:pPr>
    <w:rPr>
      <w:rFonts w:ascii="Verdana" w:eastAsiaTheme="majorEastAsia" w:hAnsi="Verdan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50"/>
    <w:rPr>
      <w:rFonts w:eastAsiaTheme="majorEastAsia" w:cstheme="majorBidi"/>
      <w:b/>
      <w:bCs/>
      <w:sz w:val="22"/>
      <w:szCs w:val="28"/>
      <w:lang w:val="en-US"/>
    </w:rPr>
  </w:style>
  <w:style w:type="paragraph" w:styleId="Header">
    <w:name w:val="header"/>
    <w:basedOn w:val="Normal"/>
    <w:link w:val="HeaderChar"/>
    <w:uiPriority w:val="99"/>
    <w:unhideWhenUsed/>
    <w:rsid w:val="00360465"/>
    <w:pPr>
      <w:tabs>
        <w:tab w:val="center" w:pos="4536"/>
        <w:tab w:val="right" w:pos="9072"/>
      </w:tabs>
    </w:pPr>
  </w:style>
  <w:style w:type="character" w:customStyle="1" w:styleId="HeaderChar">
    <w:name w:val="Header Char"/>
    <w:basedOn w:val="DefaultParagraphFont"/>
    <w:link w:val="Header"/>
    <w:uiPriority w:val="99"/>
    <w:rsid w:val="00360465"/>
    <w:rPr>
      <w:rFonts w:asciiTheme="minorHAnsi" w:hAnsiTheme="minorHAnsi" w:cstheme="minorBidi"/>
      <w:sz w:val="22"/>
      <w:szCs w:val="22"/>
      <w:lang w:val="en-US"/>
    </w:rPr>
  </w:style>
  <w:style w:type="paragraph" w:styleId="Footer">
    <w:name w:val="footer"/>
    <w:basedOn w:val="Normal"/>
    <w:link w:val="FooterChar"/>
    <w:uiPriority w:val="99"/>
    <w:unhideWhenUsed/>
    <w:rsid w:val="00360465"/>
    <w:pPr>
      <w:tabs>
        <w:tab w:val="center" w:pos="4536"/>
        <w:tab w:val="right" w:pos="9072"/>
      </w:tabs>
    </w:pPr>
  </w:style>
  <w:style w:type="character" w:customStyle="1" w:styleId="FooterChar">
    <w:name w:val="Footer Char"/>
    <w:basedOn w:val="DefaultParagraphFont"/>
    <w:link w:val="Footer"/>
    <w:uiPriority w:val="99"/>
    <w:rsid w:val="00360465"/>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Cs w:val="24"/>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50"/>
    <w:pPr>
      <w:spacing w:after="0" w:line="240" w:lineRule="auto"/>
      <w:jc w:val="both"/>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010150"/>
    <w:pPr>
      <w:keepNext/>
      <w:keepLines/>
      <w:outlineLvl w:val="0"/>
    </w:pPr>
    <w:rPr>
      <w:rFonts w:ascii="Verdana" w:eastAsiaTheme="majorEastAsia" w:hAnsi="Verdan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50"/>
    <w:rPr>
      <w:rFonts w:eastAsiaTheme="majorEastAsia" w:cstheme="majorBidi"/>
      <w:b/>
      <w:bCs/>
      <w:sz w:val="22"/>
      <w:szCs w:val="28"/>
      <w:lang w:val="en-US"/>
    </w:rPr>
  </w:style>
  <w:style w:type="paragraph" w:styleId="Header">
    <w:name w:val="header"/>
    <w:basedOn w:val="Normal"/>
    <w:link w:val="HeaderChar"/>
    <w:uiPriority w:val="99"/>
    <w:unhideWhenUsed/>
    <w:rsid w:val="00360465"/>
    <w:pPr>
      <w:tabs>
        <w:tab w:val="center" w:pos="4536"/>
        <w:tab w:val="right" w:pos="9072"/>
      </w:tabs>
    </w:pPr>
  </w:style>
  <w:style w:type="character" w:customStyle="1" w:styleId="HeaderChar">
    <w:name w:val="Header Char"/>
    <w:basedOn w:val="DefaultParagraphFont"/>
    <w:link w:val="Header"/>
    <w:uiPriority w:val="99"/>
    <w:rsid w:val="00360465"/>
    <w:rPr>
      <w:rFonts w:asciiTheme="minorHAnsi" w:hAnsiTheme="minorHAnsi" w:cstheme="minorBidi"/>
      <w:sz w:val="22"/>
      <w:szCs w:val="22"/>
      <w:lang w:val="en-US"/>
    </w:rPr>
  </w:style>
  <w:style w:type="paragraph" w:styleId="Footer">
    <w:name w:val="footer"/>
    <w:basedOn w:val="Normal"/>
    <w:link w:val="FooterChar"/>
    <w:uiPriority w:val="99"/>
    <w:unhideWhenUsed/>
    <w:rsid w:val="00360465"/>
    <w:pPr>
      <w:tabs>
        <w:tab w:val="center" w:pos="4536"/>
        <w:tab w:val="right" w:pos="9072"/>
      </w:tabs>
    </w:pPr>
  </w:style>
  <w:style w:type="character" w:customStyle="1" w:styleId="FooterChar">
    <w:name w:val="Footer Char"/>
    <w:basedOn w:val="DefaultParagraphFont"/>
    <w:link w:val="Footer"/>
    <w:uiPriority w:val="99"/>
    <w:rsid w:val="00360465"/>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Zavod za urbanizam Vojvodine</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 Симичић</dc:creator>
  <cp:lastModifiedBy>Наташа Симичић</cp:lastModifiedBy>
  <cp:revision>3</cp:revision>
  <dcterms:created xsi:type="dcterms:W3CDTF">2019-06-10T07:18:00Z</dcterms:created>
  <dcterms:modified xsi:type="dcterms:W3CDTF">2019-06-10T10:09:00Z</dcterms:modified>
</cp:coreProperties>
</file>